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00" w:lineRule="auto"/>
        <w:ind w:left="240" w:hanging="240"/>
        <w:rPr>
          <w:rFonts w:ascii="DFKai-SB" w:cs="DFKai-SB" w:eastAsia="DFKai-SB" w:hAnsi="DFKai-SB"/>
          <w:b w:val="1"/>
          <w:color w:val="00b050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b w:val="1"/>
          <w:color w:val="00b050"/>
          <w:sz w:val="32"/>
          <w:szCs w:val="32"/>
          <w:rtl w:val="0"/>
        </w:rPr>
        <w:t xml:space="preserve">*3-2法律規定教育議題實施規劃(修訂後請刪除本行)</w:t>
      </w:r>
    </w:p>
    <w:p w:rsidR="00000000" w:rsidDel="00000000" w:rsidP="00000000" w:rsidRDefault="00000000" w:rsidRPr="00000000" w14:paraId="00000002">
      <w:pPr>
        <w:spacing w:line="400" w:lineRule="auto"/>
        <w:ind w:left="180" w:hanging="180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  二、法律規定教育議題實施規劃</w:t>
      </w:r>
    </w:p>
    <w:p w:rsidR="00000000" w:rsidDel="00000000" w:rsidP="00000000" w:rsidRDefault="00000000" w:rsidRPr="00000000" w14:paraId="00000003">
      <w:pPr>
        <w:spacing w:line="400" w:lineRule="auto"/>
        <w:ind w:left="210" w:hanging="210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            法律規定教育議題課程教學活動彙整表(○年級)</w:t>
      </w:r>
    </w:p>
    <w:tbl>
      <w:tblPr>
        <w:tblStyle w:val="Table1"/>
        <w:tblW w:w="9493.0" w:type="dxa"/>
        <w:jc w:val="center"/>
        <w:tblLayout w:type="fixed"/>
        <w:tblLook w:val="0000"/>
      </w:tblPr>
      <w:tblGrid>
        <w:gridCol w:w="562"/>
        <w:gridCol w:w="1701"/>
        <w:gridCol w:w="1134"/>
        <w:gridCol w:w="1134"/>
        <w:gridCol w:w="709"/>
        <w:gridCol w:w="2982"/>
        <w:gridCol w:w="1271"/>
        <w:tblGridChange w:id="0">
          <w:tblGrid>
            <w:gridCol w:w="562"/>
            <w:gridCol w:w="1701"/>
            <w:gridCol w:w="1134"/>
            <w:gridCol w:w="1134"/>
            <w:gridCol w:w="709"/>
            <w:gridCol w:w="2982"/>
            <w:gridCol w:w="1271"/>
          </w:tblGrid>
        </w:tblGridChange>
      </w:tblGrid>
      <w:tr>
        <w:trPr>
          <w:cantSplit w:val="0"/>
          <w:trHeight w:val="1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編號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2" w:lineRule="auto"/>
              <w:ind w:left="122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教育議題名稱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0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融入領域(科目)/彈性學習課程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96" w:right="179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單元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96" w:right="179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名稱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7" w:lineRule="auto"/>
              <w:ind w:left="184" w:right="165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節數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0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教學重點：含教材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37" w:lineRule="auto"/>
              <w:ind w:left="100" w:right="87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（自編或改編等) 教法、教學資源、配合專案…等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99999999999994" w:lineRule="auto"/>
              <w:ind w:left="10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備註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108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性別平等教育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108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(獨立授課)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創意生活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(彈)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" w:right="132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學習尊重別人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1.繪本共讀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2.分組戲劇表演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3.分享實例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1A">
            <w:pPr>
              <w:spacing w:line="28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20"/>
                <w:szCs w:val="20"/>
                <w:rtl w:val="0"/>
              </w:rPr>
              <w:t xml:space="preserve">◆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除融入課程外需獨立授課</w:t>
            </w:r>
          </w:p>
          <w:p w:rsidR="00000000" w:rsidDel="00000000" w:rsidP="00000000" w:rsidRDefault="00000000" w:rsidRPr="00000000" w14:paraId="0000001B">
            <w:pPr>
              <w:spacing w:line="280" w:lineRule="auto"/>
              <w:rPr>
                <w:rFonts w:ascii="DFKai-SB" w:cs="DFKai-SB" w:eastAsia="DFKai-SB" w:hAnsi="DFKai-SB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ff0000"/>
                <w:sz w:val="20"/>
                <w:szCs w:val="20"/>
                <w:rtl w:val="0"/>
              </w:rPr>
              <w:t xml:space="preserve">◆</w:t>
            </w: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0"/>
                <w:szCs w:val="20"/>
                <w:rtl w:val="0"/>
              </w:rPr>
              <w:t xml:space="preserve">每學期至少6節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（4小時）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05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家庭教育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05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(獨立授課)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生活小達人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(彈)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幸福的滋味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4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1.配合親職教育活動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2.親師座談會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3.分享家人小確幸故事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27">
            <w:pPr>
              <w:spacing w:line="28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20"/>
                <w:szCs w:val="20"/>
                <w:rtl w:val="0"/>
              </w:rPr>
              <w:t xml:space="preserve">◆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除融入課程外需獨立授課</w:t>
            </w:r>
          </w:p>
          <w:p w:rsidR="00000000" w:rsidDel="00000000" w:rsidP="00000000" w:rsidRDefault="00000000" w:rsidRPr="00000000" w14:paraId="00000028">
            <w:pPr>
              <w:spacing w:line="28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20"/>
                <w:szCs w:val="20"/>
                <w:rtl w:val="0"/>
              </w:rPr>
              <w:t xml:space="preserve">◆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每學年至少6節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(4小時)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05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4"/>
                    <w:szCs w:val="24"/>
                    <w:u w:val="none"/>
                    <w:shd w:fill="auto" w:val="clear"/>
                    <w:vertAlign w:val="baseline"/>
                    <w:rtl w:val="0"/>
                  </w:rPr>
                  <w:t xml:space="preserve">家庭暴力防治教育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4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30">
            <w:pPr>
              <w:spacing w:line="28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◆融入</w:t>
            </w:r>
          </w:p>
          <w:p w:rsidR="00000000" w:rsidDel="00000000" w:rsidP="00000000" w:rsidRDefault="00000000" w:rsidRPr="00000000" w14:paraId="00000031">
            <w:pPr>
              <w:spacing w:line="28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◆每學年至少6節</w:t>
            </w:r>
          </w:p>
          <w:p w:rsidR="00000000" w:rsidDel="00000000" w:rsidP="00000000" w:rsidRDefault="00000000" w:rsidRPr="00000000" w14:paraId="00000032">
            <w:pPr>
              <w:spacing w:line="280" w:lineRule="auto"/>
              <w:rPr>
                <w:color w:val="0070c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 (4小時)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05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環境教育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4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39">
            <w:pPr>
              <w:spacing w:line="28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◆融入</w:t>
            </w:r>
          </w:p>
          <w:p w:rsidR="00000000" w:rsidDel="00000000" w:rsidP="00000000" w:rsidRDefault="00000000" w:rsidRPr="00000000" w14:paraId="0000003A">
            <w:pPr>
              <w:spacing w:line="280" w:lineRule="auto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◆每學年至少6節</w:t>
            </w:r>
          </w:p>
          <w:p w:rsidR="00000000" w:rsidDel="00000000" w:rsidP="00000000" w:rsidRDefault="00000000" w:rsidRPr="00000000" w14:paraId="0000003B">
            <w:pPr>
              <w:spacing w:line="280" w:lineRule="auto"/>
              <w:rPr>
                <w:color w:val="0070c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 (4小時)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05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性侵害犯罪防治教育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84" w:firstLine="0"/>
              <w:jc w:val="center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a6a6a6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</w:tcPr>
          <w:p w:rsidR="00000000" w:rsidDel="00000000" w:rsidP="00000000" w:rsidRDefault="00000000" w:rsidRPr="00000000" w14:paraId="00000042">
            <w:pPr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20"/>
                <w:szCs w:val="20"/>
                <w:rtl w:val="0"/>
              </w:rPr>
              <w:t xml:space="preserve">◆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融入</w:t>
            </w:r>
          </w:p>
          <w:p w:rsidR="00000000" w:rsidDel="00000000" w:rsidP="00000000" w:rsidRDefault="00000000" w:rsidRPr="00000000" w14:paraId="00000043">
            <w:pPr>
              <w:spacing w:line="280" w:lineRule="auto"/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color w:val="ff0000"/>
                <w:sz w:val="20"/>
                <w:szCs w:val="20"/>
                <w:rtl w:val="0"/>
              </w:rPr>
              <w:t xml:space="preserve">◆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  <w:rtl w:val="0"/>
              </w:rPr>
              <w:t xml:space="preserve">每學期至少3節</w:t>
            </w:r>
          </w:p>
          <w:p w:rsidR="00000000" w:rsidDel="00000000" w:rsidP="00000000" w:rsidRDefault="00000000" w:rsidRPr="00000000" w14:paraId="00000044">
            <w:pPr>
              <w:spacing w:line="280" w:lineRule="auto"/>
              <w:rPr>
                <w:color w:val="0070c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  <w:rtl w:val="0"/>
              </w:rPr>
              <w:t xml:space="preserve">(2小時)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line="400" w:lineRule="auto"/>
        <w:ind w:left="210" w:hanging="210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40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備註:</w:t>
      </w:r>
    </w:p>
    <w:p w:rsidR="00000000" w:rsidDel="00000000" w:rsidP="00000000" w:rsidRDefault="00000000" w:rsidRPr="00000000" w14:paraId="00000047">
      <w:pPr>
        <w:spacing w:line="400" w:lineRule="auto"/>
        <w:ind w:left="180" w:firstLine="0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1.性別平等教育：</w:t>
      </w:r>
    </w:p>
    <w:p w:rsidR="00000000" w:rsidDel="00000000" w:rsidP="00000000" w:rsidRDefault="00000000" w:rsidRPr="00000000" w14:paraId="00000048">
      <w:pPr>
        <w:spacing w:line="400" w:lineRule="auto"/>
        <w:ind w:left="360" w:firstLine="0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(1)國民中小學除應將性別平等教育融入課程外，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每學期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應實施性別平教育相關課</w:t>
      </w:r>
    </w:p>
    <w:p w:rsidR="00000000" w:rsidDel="00000000" w:rsidP="00000000" w:rsidRDefault="00000000" w:rsidRPr="00000000" w14:paraId="00000049">
      <w:pPr>
        <w:spacing w:line="400" w:lineRule="auto"/>
        <w:ind w:left="360" w:firstLine="0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程或活動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至少4小時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。(性別平等教育法,第18條)</w:t>
      </w:r>
    </w:p>
    <w:p w:rsidR="00000000" w:rsidDel="00000000" w:rsidP="00000000" w:rsidRDefault="00000000" w:rsidRPr="00000000" w14:paraId="0000004A">
      <w:pPr>
        <w:spacing w:line="400" w:lineRule="auto"/>
        <w:ind w:left="360" w:firstLine="0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(2)學校教材之編寫、審查及選用，應符合性別平等教育原則；教材內容應平衡反</w:t>
      </w:r>
    </w:p>
    <w:p w:rsidR="00000000" w:rsidDel="00000000" w:rsidP="00000000" w:rsidRDefault="00000000" w:rsidRPr="00000000" w14:paraId="0000004B">
      <w:pPr>
        <w:spacing w:line="400" w:lineRule="auto"/>
        <w:ind w:left="360" w:firstLine="0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映不同性別之歷史貢獻及生活經驗，並呈現多元之性別觀點。(性別平等教育</w:t>
      </w:r>
    </w:p>
    <w:p w:rsidR="00000000" w:rsidDel="00000000" w:rsidP="00000000" w:rsidRDefault="00000000" w:rsidRPr="00000000" w14:paraId="0000004C">
      <w:pPr>
        <w:spacing w:line="400" w:lineRule="auto"/>
        <w:ind w:left="360" w:firstLine="0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法,第18條)</w:t>
      </w:r>
    </w:p>
    <w:tbl>
      <w:tblPr>
        <w:tblStyle w:val="Table2"/>
        <w:tblW w:w="16695.0" w:type="dxa"/>
        <w:jc w:val="left"/>
        <w:tblLayout w:type="fixed"/>
        <w:tblLook w:val="0400"/>
      </w:tblPr>
      <w:tblGrid>
        <w:gridCol w:w="16695"/>
        <w:tblGridChange w:id="0">
          <w:tblGrid>
            <w:gridCol w:w="166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72.0" w:type="dxa"/>
              <w:left w:w="0.0" w:type="dxa"/>
              <w:bottom w:w="72.0" w:type="dxa"/>
              <w:right w:w="0.0" w:type="dxa"/>
            </w:tcMar>
          </w:tcPr>
          <w:p w:rsidR="00000000" w:rsidDel="00000000" w:rsidP="00000000" w:rsidRDefault="00000000" w:rsidRPr="00000000" w14:paraId="0000004D">
            <w:pPr>
              <w:spacing w:line="40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(3)性別平等教育相關課程，應涵蓋情感教育、性教育、認識及尊重不同性別、性</w:t>
            </w:r>
          </w:p>
          <w:p w:rsidR="00000000" w:rsidDel="00000000" w:rsidP="00000000" w:rsidRDefault="00000000" w:rsidRPr="00000000" w14:paraId="0000004E">
            <w:pPr>
              <w:spacing w:line="40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   別特徵、性別特質、性別認同、性傾向教育，及性侵害、性騷擾、性霸凌防治</w:t>
            </w:r>
          </w:p>
          <w:p w:rsidR="00000000" w:rsidDel="00000000" w:rsidP="00000000" w:rsidRDefault="00000000" w:rsidRPr="00000000" w14:paraId="0000004F">
            <w:pPr>
              <w:spacing w:line="40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   教育等課程，以提升學生之性別平等意識。(性別平等教育法施行細則第13條)</w:t>
            </w:r>
          </w:p>
          <w:p w:rsidR="00000000" w:rsidDel="00000000" w:rsidP="00000000" w:rsidRDefault="00000000" w:rsidRPr="00000000" w14:paraId="00000050">
            <w:pPr>
              <w:spacing w:line="40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(4)為執行性別平等教育法第十八條規定，高級中等以下學校教材之編寫、審查及</w:t>
            </w:r>
          </w:p>
          <w:p w:rsidR="00000000" w:rsidDel="00000000" w:rsidP="00000000" w:rsidRDefault="00000000" w:rsidRPr="00000000" w14:paraId="00000051">
            <w:pPr>
              <w:spacing w:line="40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   選用，應由有性別平等意識之教師參與；教材內容並應破除性別偏見及尊卑觀</w:t>
            </w:r>
          </w:p>
          <w:p w:rsidR="00000000" w:rsidDel="00000000" w:rsidP="00000000" w:rsidRDefault="00000000" w:rsidRPr="00000000" w14:paraId="00000052">
            <w:pPr>
              <w:spacing w:line="40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      念，呈現性別平等及多元之價值。(性別平等教育法施行細則第14條)</w:t>
            </w:r>
          </w:p>
        </w:tc>
      </w:tr>
    </w:tbl>
    <w:p w:rsidR="00000000" w:rsidDel="00000000" w:rsidP="00000000" w:rsidRDefault="00000000" w:rsidRPr="00000000" w14:paraId="00000053">
      <w:pPr>
        <w:spacing w:line="400" w:lineRule="auto"/>
        <w:ind w:left="180" w:firstLine="0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2.家庭教育：</w:t>
      </w:r>
    </w:p>
    <w:p w:rsidR="00000000" w:rsidDel="00000000" w:rsidP="00000000" w:rsidRDefault="00000000" w:rsidRPr="00000000" w14:paraId="00000054">
      <w:pPr>
        <w:spacing w:line="400" w:lineRule="auto"/>
        <w:ind w:left="960" w:hanging="600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（1）在正式課程外實施之家庭教育課程及活動，應依學生身心發展、家庭狀況、學校人力、物力，結合社區資源為之，並於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學校行事曆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載明。(家庭教育法施行細則,第8條)</w:t>
      </w:r>
    </w:p>
    <w:p w:rsidR="00000000" w:rsidDel="00000000" w:rsidP="00000000" w:rsidRDefault="00000000" w:rsidRPr="00000000" w14:paraId="00000055">
      <w:pPr>
        <w:spacing w:line="400" w:lineRule="auto"/>
        <w:ind w:left="960" w:hanging="600"/>
        <w:jc w:val="both"/>
        <w:rPr>
          <w:rFonts w:ascii="DFKai-SB" w:cs="DFKai-SB" w:eastAsia="DFKai-SB" w:hAnsi="DFKai-SB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rtl w:val="0"/>
        </w:rPr>
        <w:t xml:space="preserve">（2）高級中等以下學校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每學年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應在正式課程外實施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4小時以上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家庭教育課程及活動，並應會同家長會辦理親職教育。(家庭教育法,第13條)</w:t>
      </w:r>
    </w:p>
    <w:p w:rsidR="00000000" w:rsidDel="00000000" w:rsidP="00000000" w:rsidRDefault="00000000" w:rsidRPr="00000000" w14:paraId="00000056">
      <w:pPr>
        <w:spacing w:line="400" w:lineRule="auto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3家庭暴力防治教育：</w:t>
      </w:r>
    </w:p>
    <w:p w:rsidR="00000000" w:rsidDel="00000000" w:rsidP="00000000" w:rsidRDefault="00000000" w:rsidRPr="00000000" w14:paraId="00000057">
      <w:pPr>
        <w:spacing w:line="400" w:lineRule="auto"/>
        <w:ind w:firstLine="142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 高級中等以下學校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每學年應有4小時以上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之家庭暴力防治課程。但得於總時數</w:t>
      </w:r>
    </w:p>
    <w:p w:rsidR="00000000" w:rsidDel="00000000" w:rsidP="00000000" w:rsidRDefault="00000000" w:rsidRPr="00000000" w14:paraId="00000058">
      <w:pPr>
        <w:spacing w:line="400" w:lineRule="auto"/>
        <w:ind w:firstLine="425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不變下，彈性安排於各學年實施。(家庭暴力防治法，第60條)</w:t>
      </w:r>
    </w:p>
    <w:p w:rsidR="00000000" w:rsidDel="00000000" w:rsidP="00000000" w:rsidRDefault="00000000" w:rsidRPr="00000000" w14:paraId="00000059">
      <w:pPr>
        <w:spacing w:line="400" w:lineRule="auto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4.環境教育:</w:t>
      </w:r>
    </w:p>
    <w:p w:rsidR="00000000" w:rsidDel="00000000" w:rsidP="00000000" w:rsidRDefault="00000000" w:rsidRPr="00000000" w14:paraId="0000005A">
      <w:pPr>
        <w:widowControl w:val="1"/>
        <w:jc w:val="both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     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高級中等以下學校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每學年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應訂定環境教育計畫，推展環境教育工作，所有員工</w:t>
      </w:r>
    </w:p>
    <w:p w:rsidR="00000000" w:rsidDel="00000000" w:rsidP="00000000" w:rsidRDefault="00000000" w:rsidRPr="00000000" w14:paraId="0000005B">
      <w:pPr>
        <w:widowControl w:val="1"/>
        <w:ind w:firstLine="425"/>
        <w:jc w:val="both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、教師、學生均應參加</w:t>
      </w:r>
      <w:r w:rsidDel="00000000" w:rsidR="00000000" w:rsidRPr="00000000">
        <w:rPr>
          <w:rFonts w:ascii="DFKai-SB" w:cs="DFKai-SB" w:eastAsia="DFKai-SB" w:hAnsi="DFKai-SB"/>
          <w:u w:val="single"/>
          <w:rtl w:val="0"/>
        </w:rPr>
        <w:t xml:space="preserve">4小時以上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環境教育。(環境教育法，第19條)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1"/>
        <w:jc w:val="both"/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 5.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性侵害犯罪防治教育</w:t>
      </w: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：</w:t>
      </w:r>
    </w:p>
    <w:p w:rsidR="00000000" w:rsidDel="00000000" w:rsidP="00000000" w:rsidRDefault="00000000" w:rsidRPr="00000000" w14:paraId="0000005D">
      <w:pPr>
        <w:ind w:left="850" w:firstLine="0"/>
        <w:jc w:val="both"/>
        <w:rPr>
          <w:rFonts w:ascii="DFKai-SB" w:cs="DFKai-SB" w:eastAsia="DFKai-SB" w:hAnsi="DFKai-SB"/>
          <w:b w:val="1"/>
          <w:color w:val="ff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ff0000"/>
          <w:rtl w:val="0"/>
        </w:rPr>
        <w:t xml:space="preserve">高級中等以下學校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u w:val="single"/>
          <w:rtl w:val="0"/>
        </w:rPr>
        <w:t xml:space="preserve">每學期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rtl w:val="0"/>
        </w:rPr>
        <w:t xml:space="preserve">應實施性侵害防治教育課程，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u w:val="single"/>
          <w:rtl w:val="0"/>
        </w:rPr>
        <w:t xml:space="preserve">至少二小時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rtl w:val="0"/>
        </w:rPr>
        <w:t xml:space="preserve">。(性侵害犯罪防治法，第9條)</w:t>
      </w:r>
    </w:p>
    <w:p w:rsidR="00000000" w:rsidDel="00000000" w:rsidP="00000000" w:rsidRDefault="00000000" w:rsidRPr="00000000" w14:paraId="0000005E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</w:t>
      </w:r>
    </w:p>
    <w:p w:rsidR="00000000" w:rsidDel="00000000" w:rsidP="00000000" w:rsidRDefault="00000000" w:rsidRPr="00000000" w14:paraId="0000005F">
      <w:pPr>
        <w:jc w:val="center"/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center"/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PMingLiu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E47DB"/>
    <w:pPr>
      <w:widowControl w:val="0"/>
    </w:pPr>
    <w:rPr>
      <w:rFonts w:ascii="Times New Roman" w:cs="Times New Roman" w:eastAsia="新細明體" w:hAnsi="Times New Roman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C236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 w:customStyle="1">
    <w:name w:val="頁首 字元"/>
    <w:basedOn w:val="a0"/>
    <w:link w:val="a3"/>
    <w:uiPriority w:val="99"/>
    <w:rsid w:val="00C236E6"/>
    <w:rPr>
      <w:rFonts w:ascii="Times New Roman" w:cs="Times New Roman" w:eastAsia="新細明體" w:hAnsi="Times New Roman"/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C236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 w:customStyle="1">
    <w:name w:val="頁尾 字元"/>
    <w:basedOn w:val="a0"/>
    <w:link w:val="a5"/>
    <w:uiPriority w:val="99"/>
    <w:rsid w:val="00C236E6"/>
    <w:rPr>
      <w:rFonts w:ascii="Times New Roman" w:cs="Times New Roman" w:eastAsia="新細明體" w:hAnsi="Times New Roman"/>
      <w:sz w:val="20"/>
      <w:szCs w:val="20"/>
    </w:rPr>
  </w:style>
  <w:style w:type="character" w:styleId="a7">
    <w:name w:val="Hyperlink"/>
    <w:basedOn w:val="a0"/>
    <w:uiPriority w:val="99"/>
    <w:unhideWhenUsed w:val="1"/>
    <w:rsid w:val="006811EE"/>
    <w:rPr>
      <w:color w:val="0563c1" w:themeColor="hyperlink"/>
      <w:u w:val="single"/>
    </w:rPr>
  </w:style>
  <w:style w:type="character" w:styleId="1" w:customStyle="1">
    <w:name w:val="未解析的提及1"/>
    <w:basedOn w:val="a0"/>
    <w:uiPriority w:val="99"/>
    <w:semiHidden w:val="1"/>
    <w:unhideWhenUsed w:val="1"/>
    <w:rsid w:val="006811EE"/>
    <w:rPr>
      <w:color w:val="605e5c"/>
      <w:shd w:color="auto" w:fill="e1dfdd" w:val="clear"/>
    </w:rPr>
  </w:style>
  <w:style w:type="paragraph" w:styleId="a8">
    <w:name w:val="Balloon Text"/>
    <w:basedOn w:val="a"/>
    <w:link w:val="a9"/>
    <w:uiPriority w:val="99"/>
    <w:semiHidden w:val="1"/>
    <w:unhideWhenUsed w:val="1"/>
    <w:rsid w:val="003F6B4D"/>
    <w:rPr>
      <w:rFonts w:asciiTheme="majorHAnsi" w:cstheme="majorBidi" w:eastAsiaTheme="majorEastAsia" w:hAnsiTheme="majorHAnsi"/>
      <w:sz w:val="18"/>
      <w:szCs w:val="18"/>
    </w:rPr>
  </w:style>
  <w:style w:type="character" w:styleId="a9" w:customStyle="1">
    <w:name w:val="註解方塊文字 字元"/>
    <w:basedOn w:val="a0"/>
    <w:link w:val="a8"/>
    <w:uiPriority w:val="99"/>
    <w:semiHidden w:val="1"/>
    <w:rsid w:val="003F6B4D"/>
    <w:rPr>
      <w:rFonts w:asciiTheme="majorHAnsi" w:cstheme="majorBidi" w:eastAsiaTheme="majorEastAsia" w:hAnsiTheme="majorHAnsi"/>
      <w:sz w:val="18"/>
      <w:szCs w:val="18"/>
    </w:rPr>
  </w:style>
  <w:style w:type="paragraph" w:styleId="TableParagraph" w:customStyle="1">
    <w:name w:val="Table Paragraph"/>
    <w:basedOn w:val="a"/>
    <w:uiPriority w:val="1"/>
    <w:qFormat w:val="1"/>
    <w:rsid w:val="000D28B4"/>
    <w:pPr>
      <w:autoSpaceDE w:val="0"/>
      <w:autoSpaceDN w:val="0"/>
      <w:adjustRightInd w:val="0"/>
    </w:pPr>
    <w:rPr>
      <w:rFonts w:ascii="標楷體" w:cs="標楷體" w:eastAsia="標楷體"/>
      <w:kern w:val="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RpgcmcDGVy0VCztYkCz+JKGBDg==">CgMxLjAaMAoBMBIrCikIB0IlChFRdWF0dHJvY2VudG8gU2FucxIQQXJpYWwgVW5pY29kZSBNUzIIaC5namRneHM4AHIhMVBna1lRMGJ1bXZWYndoX3lRZWE4cjFrNjhYY2ptSENU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2024-03-12T09:46:00Z</dcterms:created>
  <dc:creator>user</dc:creator>
</cp:coreProperties>
</file>